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91" w:rsidRDefault="000E6891">
      <w:pPr>
        <w:rPr>
          <w:lang w:val="ru-RU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E753AB" w:rsidRPr="00E753AB" w:rsidTr="00BE3251">
        <w:trPr>
          <w:trHeight w:val="278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753AB" w:rsidRPr="00531965" w:rsidRDefault="00417651" w:rsidP="00417651">
            <w:pPr>
              <w:pStyle w:val="a5"/>
              <w:widowControl/>
              <w:autoSpaceDE/>
              <w:autoSpaceDN/>
              <w:spacing w:after="200" w:line="276" w:lineRule="auto"/>
              <w:ind w:left="4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</w:t>
            </w:r>
            <w:r w:rsidR="00531965">
              <w:rPr>
                <w:b/>
                <w:sz w:val="24"/>
                <w:lang w:val="ru-RU"/>
              </w:rPr>
              <w:t xml:space="preserve"> </w:t>
            </w:r>
            <w:r w:rsidR="00E753AB" w:rsidRPr="00531965">
              <w:rPr>
                <w:b/>
                <w:sz w:val="24"/>
                <w:lang w:val="ru-RU"/>
              </w:rPr>
              <w:t xml:space="preserve">Планируемые результаты </w:t>
            </w:r>
          </w:p>
        </w:tc>
      </w:tr>
      <w:tr w:rsidR="00E753AB" w:rsidRPr="00E753AB" w:rsidTr="00495F2E">
        <w:trPr>
          <w:trHeight w:val="243"/>
        </w:trPr>
        <w:tc>
          <w:tcPr>
            <w:tcW w:w="4644" w:type="dxa"/>
            <w:shd w:val="clear" w:color="auto" w:fill="auto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753AB">
              <w:rPr>
                <w:b/>
                <w:i/>
                <w:sz w:val="24"/>
                <w:lang w:val="ru-RU"/>
              </w:rPr>
              <w:t>научится</w:t>
            </w:r>
            <w:proofErr w:type="gramEnd"/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3492" w:hanging="3492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Получит возможность научиться</w:t>
            </w:r>
          </w:p>
        </w:tc>
      </w:tr>
      <w:tr w:rsidR="00E753AB" w:rsidRPr="0063264A" w:rsidTr="00495F2E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val="ru-RU" w:eastAsia="ar-SA"/>
              </w:rPr>
              <w:t>Личностные</w:t>
            </w:r>
          </w:p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E753AB" w:rsidRPr="0063264A" w:rsidTr="00495F2E">
        <w:trPr>
          <w:trHeight w:val="1123"/>
        </w:trPr>
        <w:tc>
          <w:tcPr>
            <w:tcW w:w="4644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размышлять</w:t>
            </w:r>
            <w:proofErr w:type="gramEnd"/>
            <w:r w:rsidRPr="00E753AB">
              <w:rPr>
                <w:sz w:val="24"/>
                <w:lang w:val="ru-RU"/>
              </w:rPr>
              <w:t xml:space="preserve"> об истоках возникновения   музыкального искусства;                       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наблюдать</w:t>
            </w:r>
            <w:proofErr w:type="gramEnd"/>
            <w:r w:rsidRPr="00E753AB">
              <w:rPr>
                <w:sz w:val="24"/>
                <w:lang w:val="ru-RU"/>
              </w:rPr>
              <w:t xml:space="preserve">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расширять</w:t>
            </w:r>
            <w:proofErr w:type="gramEnd"/>
            <w:r w:rsidRPr="00E753AB">
              <w:rPr>
                <w:sz w:val="24"/>
                <w:lang w:val="ru-RU"/>
              </w:rPr>
              <w:t xml:space="preserve">   музыкальный  кругозор и получит общие представления о музыкальной жизни современного социума;</w:t>
            </w:r>
          </w:p>
        </w:tc>
      </w:tr>
      <w:tr w:rsidR="00E753AB" w:rsidRPr="0063264A" w:rsidTr="00495F2E">
        <w:trPr>
          <w:trHeight w:val="56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78"/>
              </w:tabs>
              <w:autoSpaceDE/>
              <w:autoSpaceDN/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E753AB" w:rsidRPr="0063264A" w:rsidTr="00495F2E">
        <w:trPr>
          <w:trHeight w:val="1407"/>
        </w:trPr>
        <w:tc>
          <w:tcPr>
            <w:tcW w:w="4644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участвовать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умение</w:t>
            </w:r>
            <w:proofErr w:type="gramEnd"/>
            <w:r w:rsidRPr="00E753AB">
              <w:rPr>
                <w:sz w:val="24"/>
                <w:lang w:val="ru-RU"/>
              </w:rPr>
              <w:t xml:space="preserve"> работать с учебником по музыке;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color w:val="000000"/>
                <w:sz w:val="24"/>
                <w:lang w:val="ru-RU"/>
              </w:rPr>
              <w:t>участвовать  в</w:t>
            </w:r>
            <w:proofErr w:type="gramEnd"/>
            <w:r w:rsidRPr="00E753AB">
              <w:rPr>
                <w:color w:val="000000"/>
                <w:sz w:val="24"/>
                <w:lang w:val="ru-RU"/>
              </w:rPr>
              <w:t xml:space="preserve"> коллективном обсуждении учебной проблемы и анализе условий учебной задачи;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умение</w:t>
            </w:r>
            <w:proofErr w:type="gramEnd"/>
            <w:r w:rsidRPr="00E753AB">
              <w:rPr>
                <w:sz w:val="24"/>
                <w:lang w:val="ru-RU"/>
              </w:rPr>
              <w:t xml:space="preserve"> работать с учебником по музыке;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63264A" w:rsidTr="00495F2E">
        <w:trPr>
          <w:trHeight w:val="1269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i/>
                <w:sz w:val="24"/>
                <w:u w:val="wave"/>
                <w:lang w:val="ru-RU"/>
              </w:rPr>
              <w:t>Предметные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Сформированность первоначальных представлений о роли музыки в жизни человека, в его духовно-нравственном развитии</w:t>
            </w:r>
          </w:p>
        </w:tc>
      </w:tr>
      <w:tr w:rsidR="00E753AB" w:rsidRPr="0063264A" w:rsidTr="00495F2E">
        <w:trPr>
          <w:trHeight w:val="2705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проявлять</w:t>
            </w:r>
            <w:proofErr w:type="gramEnd"/>
            <w:r w:rsidRPr="00E753AB">
              <w:rPr>
                <w:sz w:val="24"/>
                <w:lang w:val="ru-RU"/>
              </w:rPr>
              <w:t xml:space="preserve"> личностное отношение при восприятии музыкальных произведений, эмоциональную отзывчивость;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понимать</w:t>
            </w:r>
            <w:r w:rsidRPr="00E753AB">
              <w:rPr>
                <w:b/>
                <w:sz w:val="24"/>
                <w:lang w:val="ru-RU"/>
              </w:rPr>
              <w:t xml:space="preserve">  </w:t>
            </w:r>
            <w:r w:rsidRPr="00E753AB">
              <w:rPr>
                <w:sz w:val="24"/>
                <w:lang w:val="ru-RU"/>
              </w:rPr>
              <w:t>степень</w:t>
            </w:r>
            <w:proofErr w:type="gramEnd"/>
            <w:r w:rsidRPr="00E753AB">
              <w:rPr>
                <w:sz w:val="24"/>
                <w:lang w:val="ru-RU"/>
              </w:rPr>
              <w:t xml:space="preserve"> значения роли музыки в жизни человека.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выявлять</w:t>
            </w:r>
            <w:proofErr w:type="gramEnd"/>
            <w:r w:rsidRPr="00E753AB">
              <w:rPr>
                <w:sz w:val="24"/>
                <w:lang w:val="ru-RU"/>
              </w:rPr>
              <w:t xml:space="preserve"> характерные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различать</w:t>
            </w:r>
            <w:proofErr w:type="gramEnd"/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пониманию</w:t>
            </w:r>
            <w:proofErr w:type="gramEnd"/>
            <w:r w:rsidRPr="00E753AB">
              <w:rPr>
                <w:sz w:val="24"/>
                <w:lang w:val="ru-RU"/>
              </w:rPr>
              <w:t xml:space="preserve"> истоков музыки и ее взаимосвязи с жизнью;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76" w:lineRule="auto"/>
              <w:rPr>
                <w:i/>
                <w:sz w:val="24"/>
                <w:lang w:val="ru-RU"/>
              </w:rPr>
            </w:pPr>
            <w:proofErr w:type="gramStart"/>
            <w:r w:rsidRPr="00E753AB">
              <w:rPr>
                <w:color w:val="000000"/>
                <w:sz w:val="24"/>
                <w:lang w:val="ru-RU"/>
              </w:rPr>
              <w:t>воспринимать</w:t>
            </w:r>
            <w:proofErr w:type="gramEnd"/>
            <w:r w:rsidRPr="00E753AB">
              <w:rPr>
                <w:color w:val="000000"/>
                <w:sz w:val="24"/>
                <w:lang w:val="ru-RU"/>
              </w:rPr>
              <w:t xml:space="preserve"> учебный материал небольшого объема со слов учителя, умению внимательно слушать;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узнавать</w:t>
            </w:r>
            <w:proofErr w:type="gramEnd"/>
            <w:r w:rsidRPr="00E753AB">
              <w:rPr>
                <w:sz w:val="24"/>
                <w:lang w:val="ru-RU"/>
              </w:rPr>
              <w:t xml:space="preserve"> на слух основную часть произведений;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63264A" w:rsidTr="00495F2E">
        <w:trPr>
          <w:trHeight w:val="586"/>
        </w:trPr>
        <w:tc>
          <w:tcPr>
            <w:tcW w:w="10031" w:type="dxa"/>
            <w:gridSpan w:val="3"/>
          </w:tcPr>
          <w:p w:rsidR="00E753AB" w:rsidRPr="00E753AB" w:rsidRDefault="00E753AB" w:rsidP="00FF352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Сформированность основ музыкальной культуры, в том числе на материале музыкальной культуры родного края</w:t>
            </w:r>
          </w:p>
        </w:tc>
      </w:tr>
      <w:tr w:rsidR="00E753AB" w:rsidRPr="0063264A" w:rsidTr="00495F2E">
        <w:trPr>
          <w:trHeight w:val="4971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lastRenderedPageBreak/>
              <w:t>ориентироваться</w:t>
            </w:r>
            <w:proofErr w:type="gramEnd"/>
            <w:r w:rsidRPr="00E753AB">
              <w:rPr>
                <w:sz w:val="24"/>
                <w:lang w:val="ru-RU"/>
              </w:rPr>
              <w:t xml:space="preserve">   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музыкально-</w:t>
            </w:r>
            <w:r w:rsidRPr="00E753AB">
              <w:rPr>
                <w:spacing w:val="41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поэтическом  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w w:val="110"/>
                <w:sz w:val="24"/>
                <w:lang w:val="ru-RU"/>
              </w:rPr>
              <w:t xml:space="preserve">творчестве,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фольклора  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России,  </w:t>
            </w:r>
            <w:r w:rsidRPr="00E753AB">
              <w:rPr>
                <w:spacing w:val="46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том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w w:val="121"/>
                <w:sz w:val="24"/>
                <w:lang w:val="ru-RU"/>
              </w:rPr>
              <w:t>чис</w:t>
            </w:r>
            <w:r w:rsidRPr="00E753AB">
              <w:rPr>
                <w:sz w:val="24"/>
                <w:lang w:val="ru-RU"/>
              </w:rPr>
              <w:t xml:space="preserve">ле </w:t>
            </w:r>
            <w:r w:rsidRPr="00E753AB">
              <w:rPr>
                <w:spacing w:val="28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родного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края, 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сопоставлять   </w:t>
            </w:r>
            <w:r w:rsidRPr="00E753AB">
              <w:rPr>
                <w:spacing w:val="3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различные   </w:t>
            </w:r>
            <w:r w:rsidRPr="00E753AB">
              <w:rPr>
                <w:spacing w:val="1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образцы  </w:t>
            </w:r>
            <w:r w:rsidRPr="00E753AB">
              <w:rPr>
                <w:spacing w:val="40"/>
                <w:sz w:val="24"/>
                <w:lang w:val="ru-RU"/>
              </w:rPr>
              <w:t xml:space="preserve"> </w:t>
            </w:r>
            <w:r w:rsidRPr="00E753AB">
              <w:rPr>
                <w:w w:val="112"/>
                <w:sz w:val="24"/>
                <w:lang w:val="ru-RU"/>
              </w:rPr>
              <w:t xml:space="preserve">народной </w:t>
            </w:r>
            <w:r w:rsidRPr="00E753AB">
              <w:rPr>
                <w:sz w:val="24"/>
                <w:lang w:val="ru-RU"/>
              </w:rPr>
              <w:t>и</w:t>
            </w:r>
            <w:r w:rsidRPr="00E753AB">
              <w:rPr>
                <w:spacing w:val="4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профессиональной    музыки;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 xml:space="preserve">ценить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отечественные</w:t>
            </w:r>
            <w:proofErr w:type="gramEnd"/>
            <w:r w:rsidRPr="00E753AB">
              <w:rPr>
                <w:sz w:val="24"/>
                <w:lang w:val="ru-RU"/>
              </w:rPr>
              <w:t xml:space="preserve">   </w:t>
            </w:r>
            <w:r w:rsidRPr="00E753AB">
              <w:rPr>
                <w:spacing w:val="1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традиции;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пониманию</w:t>
            </w:r>
            <w:proofErr w:type="gramEnd"/>
            <w:r w:rsidRPr="00E753AB">
              <w:rPr>
                <w:sz w:val="24"/>
                <w:lang w:val="ru-RU"/>
              </w:rPr>
              <w:t xml:space="preserve">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осмысленно</w:t>
            </w:r>
            <w:proofErr w:type="gramEnd"/>
            <w:r w:rsidRPr="00E753AB">
              <w:rPr>
                <w:sz w:val="24"/>
                <w:lang w:val="ru-RU"/>
              </w:rPr>
              <w:t xml:space="preserve"> владеть способами певческой деятельности: </w:t>
            </w:r>
            <w:proofErr w:type="spellStart"/>
            <w:r w:rsidRPr="00E753AB">
              <w:rPr>
                <w:sz w:val="24"/>
                <w:lang w:val="ru-RU"/>
              </w:rPr>
              <w:t>пропевание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реализовывать</w:t>
            </w:r>
            <w:proofErr w:type="gramEnd"/>
            <w:r w:rsidRPr="00E753AB">
              <w:rPr>
                <w:sz w:val="24"/>
                <w:lang w:val="ru-RU"/>
              </w:rPr>
              <w:t xml:space="preserve">     </w:t>
            </w:r>
            <w:r w:rsidRPr="00E753AB">
              <w:rPr>
                <w:spacing w:val="2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творческий    </w:t>
            </w:r>
            <w:r w:rsidRPr="00E753AB">
              <w:rPr>
                <w:spacing w:val="43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знать</w:t>
            </w:r>
            <w:proofErr w:type="gramEnd"/>
            <w:r w:rsidRPr="00E753AB">
              <w:rPr>
                <w:sz w:val="24"/>
                <w:lang w:val="ru-RU"/>
              </w:rPr>
              <w:t xml:space="preserve">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различать</w:t>
            </w:r>
            <w:proofErr w:type="gramEnd"/>
            <w:r w:rsidRPr="00E753AB">
              <w:rPr>
                <w:sz w:val="24"/>
                <w:lang w:val="ru-RU"/>
              </w:rPr>
              <w:t xml:space="preserve"> жанры народных песен – </w:t>
            </w:r>
            <w:r w:rsidRPr="00E753AB">
              <w:rPr>
                <w:b/>
                <w:i/>
                <w:sz w:val="24"/>
                <w:lang w:val="ru-RU"/>
              </w:rPr>
              <w:t>колыбельные</w:t>
            </w:r>
            <w:r w:rsidRPr="00E753AB">
              <w:rPr>
                <w:sz w:val="24"/>
                <w:lang w:val="ru-RU"/>
              </w:rPr>
              <w:t xml:space="preserve">, </w:t>
            </w:r>
            <w:r w:rsidRPr="00E753AB">
              <w:rPr>
                <w:b/>
                <w:i/>
                <w:sz w:val="24"/>
                <w:lang w:val="ru-RU"/>
              </w:rPr>
              <w:t>плясовые,</w:t>
            </w:r>
            <w:r w:rsidRPr="00E753AB">
              <w:rPr>
                <w:sz w:val="24"/>
                <w:lang w:val="ru-RU"/>
              </w:rPr>
              <w:t xml:space="preserve"> их характерные особенности; 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знать</w:t>
            </w:r>
            <w:proofErr w:type="gramEnd"/>
            <w:r w:rsidRPr="00E753AB">
              <w:rPr>
                <w:sz w:val="24"/>
                <w:lang w:val="ru-RU"/>
              </w:rPr>
              <w:t xml:space="preserve"> образцы музыкального фольклора, народные музыкальные традиции, праздники;</w:t>
            </w:r>
          </w:p>
        </w:tc>
      </w:tr>
      <w:tr w:rsidR="00E753AB" w:rsidRPr="0063264A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609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E753AB" w:rsidRPr="0063264A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накопления</w:t>
            </w:r>
            <w:proofErr w:type="gramEnd"/>
            <w:r w:rsidRPr="00E753AB">
              <w:rPr>
                <w:sz w:val="24"/>
                <w:lang w:val="ru-RU"/>
              </w:rPr>
              <w:t xml:space="preserve"> музыкально-слуховых представлений и воспитания художественного вкуса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понимать</w:t>
            </w:r>
            <w:proofErr w:type="gramEnd"/>
            <w:r w:rsidRPr="00E753AB">
              <w:rPr>
                <w:sz w:val="24"/>
                <w:lang w:val="ru-RU"/>
              </w:rPr>
              <w:t xml:space="preserve"> термины: мелодия и аккомпанемент. Что мелодия – главная мысль музыкального произведения;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сопоставлять  народные</w:t>
            </w:r>
            <w:proofErr w:type="gramEnd"/>
            <w:r w:rsidRPr="00E753AB">
              <w:rPr>
                <w:sz w:val="24"/>
                <w:lang w:val="ru-RU"/>
              </w:rPr>
              <w:t xml:space="preserve">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обогащению</w:t>
            </w:r>
            <w:proofErr w:type="gramEnd"/>
            <w:r w:rsidRPr="00E753AB">
              <w:rPr>
                <w:sz w:val="24"/>
                <w:lang w:val="ru-RU"/>
              </w:rPr>
              <w:t xml:space="preserve"> индивидуального музыкального опыта;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воплощению</w:t>
            </w:r>
            <w:proofErr w:type="gramEnd"/>
            <w:r w:rsidRPr="00E753AB">
              <w:rPr>
                <w:sz w:val="24"/>
                <w:lang w:val="ru-RU"/>
              </w:rPr>
              <w:t xml:space="preserve"> собственных мыслей, чувств в звучании голоса и различных инструментов;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определять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названия профессиональных инструментов ,выразительные и изобразительные возможности этих инструментов</w:t>
            </w:r>
          </w:p>
        </w:tc>
      </w:tr>
      <w:tr w:rsidR="00E753AB" w:rsidRPr="0063264A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96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E753AB" w:rsidRPr="0063264A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внимательно</w:t>
            </w:r>
            <w:proofErr w:type="gramEnd"/>
            <w:r w:rsidRPr="00E753AB">
              <w:rPr>
                <w:sz w:val="24"/>
                <w:lang w:val="ru-RU"/>
              </w:rPr>
              <w:t xml:space="preserve"> слушать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определять  смысл</w:t>
            </w:r>
            <w:proofErr w:type="gramEnd"/>
            <w:r w:rsidRPr="00E753AB">
              <w:rPr>
                <w:sz w:val="24"/>
                <w:lang w:val="ru-RU"/>
              </w:rPr>
              <w:t xml:space="preserve"> понятий «композитор-исполнитель-слушатель»;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узнавать</w:t>
            </w:r>
            <w:proofErr w:type="gramEnd"/>
            <w:r w:rsidRPr="00E753AB">
              <w:rPr>
                <w:sz w:val="24"/>
                <w:lang w:val="ru-RU"/>
              </w:rPr>
              <w:t xml:space="preserve">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определять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и сравнивать характер, настроение в музыкальных произведениях;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эмоционально</w:t>
            </w:r>
            <w:proofErr w:type="gramEnd"/>
            <w:r w:rsidRPr="00E753AB">
              <w:rPr>
                <w:sz w:val="24"/>
                <w:lang w:val="ru-RU"/>
              </w:rPr>
              <w:t xml:space="preserve"> откликнуться на музыкальное произведение и выразить свое впечатление</w:t>
            </w:r>
          </w:p>
        </w:tc>
      </w:tr>
      <w:tr w:rsidR="00E753AB" w:rsidRPr="0063264A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993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 xml:space="preserve">5.Использование музыкальных образов при создании театрализованных и музыкально-пластических композиций, исполнения вокально-хоровых </w:t>
            </w:r>
            <w:r w:rsidRPr="00E753AB">
              <w:rPr>
                <w:b/>
                <w:sz w:val="24"/>
                <w:lang w:val="ru-RU"/>
              </w:rPr>
              <w:lastRenderedPageBreak/>
              <w:t>произведений, в импровизации</w:t>
            </w:r>
          </w:p>
        </w:tc>
      </w:tr>
      <w:tr w:rsidR="00E753AB" w:rsidRPr="0063264A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lastRenderedPageBreak/>
              <w:t>определять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характер, настроение, жанровую основу песен-</w:t>
            </w:r>
            <w:proofErr w:type="spellStart"/>
            <w:r w:rsidRPr="00E753AB">
              <w:rPr>
                <w:sz w:val="24"/>
                <w:lang w:val="ru-RU"/>
              </w:rPr>
              <w:t>попевок</w:t>
            </w:r>
            <w:proofErr w:type="spellEnd"/>
            <w:r w:rsidRPr="00E753AB">
              <w:rPr>
                <w:sz w:val="24"/>
                <w:lang w:val="ru-RU"/>
              </w:rPr>
              <w:t>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принимать</w:t>
            </w:r>
            <w:proofErr w:type="gramEnd"/>
            <w:r w:rsidRPr="00E753AB">
              <w:rPr>
                <w:sz w:val="24"/>
                <w:lang w:val="ru-RU"/>
              </w:rPr>
              <w:t xml:space="preserve"> участие в элементарной импровизации и исполнительской деятельности;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участвовать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в коллективном пении, исполнение ритма, изображение </w:t>
            </w:r>
            <w:proofErr w:type="spellStart"/>
            <w:r w:rsidRPr="00E753AB">
              <w:rPr>
                <w:sz w:val="24"/>
                <w:lang w:val="ru-RU"/>
              </w:rPr>
              <w:t>звуковысотности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 движением рук;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выразительно</w:t>
            </w:r>
            <w:proofErr w:type="gramEnd"/>
            <w:r w:rsidRPr="00E753AB">
              <w:rPr>
                <w:sz w:val="24"/>
                <w:lang w:val="ru-RU"/>
              </w:rPr>
              <w:t xml:space="preserve">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передавать</w:t>
            </w:r>
            <w:proofErr w:type="gramEnd"/>
            <w:r w:rsidRPr="00E753AB">
              <w:rPr>
                <w:sz w:val="24"/>
                <w:lang w:val="ru-RU"/>
              </w:rPr>
              <w:t xml:space="preserve"> настроение музыки в пении;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откликаться</w:t>
            </w:r>
            <w:proofErr w:type="gramEnd"/>
            <w:r w:rsidRPr="00E753AB">
              <w:rPr>
                <w:sz w:val="24"/>
                <w:lang w:val="ru-RU"/>
              </w:rPr>
              <w:t xml:space="preserve"> на характер музыки пластикой рук, ритмическими хлопками.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исполнять</w:t>
            </w:r>
            <w:proofErr w:type="gramEnd"/>
            <w:r w:rsidRPr="00E753AB">
              <w:rPr>
                <w:sz w:val="24"/>
                <w:lang w:val="ru-RU"/>
              </w:rPr>
              <w:t>, инсценировать песни.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передавать</w:t>
            </w:r>
            <w:proofErr w:type="gramEnd"/>
            <w:r w:rsidRPr="00E753AB">
              <w:rPr>
                <w:sz w:val="24"/>
                <w:lang w:val="ru-RU"/>
              </w:rPr>
              <w:t xml:space="preserve"> настроение музыки в пластическом движении, пении, давать определения общего характера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63264A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val="ru-RU" w:eastAsia="ru-RU"/>
              </w:rPr>
              <w:t>Метапредметные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200" w:line="276" w:lineRule="auto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Применение знаково-символических и речевых средств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val="ru-RU" w:eastAsia="ar-SA"/>
              </w:rPr>
              <w:t xml:space="preserve">для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решения коммуникативных и познавательных задач;</w:t>
            </w:r>
          </w:p>
        </w:tc>
      </w:tr>
      <w:tr w:rsidR="00E753AB" w:rsidRPr="0063264A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использовать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выделять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отдельные признаки предмета и объединять по общему признаку;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приобретать</w:t>
            </w:r>
            <w:proofErr w:type="gramEnd"/>
            <w:r w:rsidRPr="00E753AB">
              <w:rPr>
                <w:sz w:val="24"/>
                <w:lang w:val="ru-RU"/>
              </w:rPr>
              <w:t xml:space="preserve"> (моделировать) опыт музыкально-творческой деятельности через сочинение, исполнение, слушание.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выделять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отдельные признаки предмета и объединять по общему признаку;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выражать</w:t>
            </w:r>
            <w:proofErr w:type="gramEnd"/>
            <w:r w:rsidRPr="00E753AB">
              <w:rPr>
                <w:sz w:val="24"/>
                <w:lang w:val="ru-RU"/>
              </w:rPr>
              <w:t xml:space="preserve"> собственные мысли, настроения и чувства с помощью музыкальной речи в пении, движении, игре на инструментах;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приобретать</w:t>
            </w:r>
            <w:proofErr w:type="gramEnd"/>
            <w:r w:rsidRPr="00E753AB">
              <w:rPr>
                <w:sz w:val="24"/>
                <w:lang w:val="ru-RU"/>
              </w:rPr>
              <w:t xml:space="preserve"> (моделировать) опыт музыкально-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владеть</w:t>
            </w:r>
            <w:proofErr w:type="gramEnd"/>
            <w:r w:rsidRPr="00E753AB">
              <w:rPr>
                <w:sz w:val="24"/>
                <w:lang w:val="ru-RU"/>
              </w:rPr>
              <w:t xml:space="preserve"> элементами алгоритма сочинения мелодии;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ориентироваться</w:t>
            </w:r>
            <w:proofErr w:type="gramEnd"/>
            <w:r w:rsidRPr="00E753AB">
              <w:rPr>
                <w:sz w:val="24"/>
                <w:lang w:val="ru-RU"/>
              </w:rPr>
              <w:t xml:space="preserve"> в нотном письме как графическом изображении типичных интонационных оборотов;</w:t>
            </w:r>
          </w:p>
        </w:tc>
      </w:tr>
      <w:tr w:rsidR="00E753AB" w:rsidRPr="0063264A" w:rsidTr="00495F2E">
        <w:trPr>
          <w:trHeight w:val="55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1040"/>
              <w:jc w:val="both"/>
              <w:rPr>
                <w:b/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E753AB" w:rsidRPr="0063264A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FF352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самостоятельно</w:t>
            </w:r>
            <w:proofErr w:type="gramEnd"/>
            <w:r w:rsidRPr="00E753AB">
              <w:rPr>
                <w:sz w:val="24"/>
                <w:lang w:val="ru-RU"/>
              </w:rPr>
              <w:t xml:space="preserve">   выполнять упражнения; 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участвовать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в коллективной творческой деятельности при </w:t>
            </w:r>
            <w:r w:rsidRPr="00E753AB">
              <w:rPr>
                <w:sz w:val="24"/>
                <w:lang w:val="ru-RU"/>
              </w:rPr>
              <w:lastRenderedPageBreak/>
              <w:t>воплощении различных музыкальных образов;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FF352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lastRenderedPageBreak/>
              <w:t>видеть</w:t>
            </w:r>
            <w:proofErr w:type="gramEnd"/>
            <w:r w:rsidRPr="00E753AB">
              <w:rPr>
                <w:sz w:val="24"/>
                <w:lang w:val="ru-RU"/>
              </w:rPr>
              <w:t xml:space="preserve"> взаимосвязь всех школьных уроков друг с другом и роль музыки в отражениях различных  явлениях жизни;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lastRenderedPageBreak/>
              <w:t>узнавать</w:t>
            </w:r>
            <w:proofErr w:type="gramEnd"/>
            <w:r w:rsidRPr="00E753AB">
              <w:rPr>
                <w:sz w:val="24"/>
                <w:lang w:val="ru-RU"/>
              </w:rPr>
              <w:t xml:space="preserve">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FF352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оказывать</w:t>
            </w:r>
            <w:proofErr w:type="gramEnd"/>
            <w:r w:rsidRPr="00E753AB">
              <w:rPr>
                <w:sz w:val="24"/>
                <w:lang w:val="ru-RU"/>
              </w:rPr>
              <w:t xml:space="preserve"> помощь в организации и проведении школьных культурно-массовых мероприятий.</w:t>
            </w:r>
          </w:p>
        </w:tc>
      </w:tr>
    </w:tbl>
    <w:p w:rsidR="0049438F" w:rsidRDefault="0049438F" w:rsidP="00E753AB">
      <w:pPr>
        <w:rPr>
          <w:lang w:val="ru-RU"/>
        </w:rPr>
      </w:pPr>
      <w:bookmarkStart w:id="0" w:name="_GoBack"/>
      <w:bookmarkEnd w:id="0"/>
    </w:p>
    <w:sectPr w:rsidR="0049438F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17651"/>
    <w:rsid w:val="0049438F"/>
    <w:rsid w:val="00531965"/>
    <w:rsid w:val="005E74AA"/>
    <w:rsid w:val="0063264A"/>
    <w:rsid w:val="00671362"/>
    <w:rsid w:val="006B55ED"/>
    <w:rsid w:val="00AB0C06"/>
    <w:rsid w:val="00BD405D"/>
    <w:rsid w:val="00BE3251"/>
    <w:rsid w:val="00C04552"/>
    <w:rsid w:val="00D443E6"/>
    <w:rsid w:val="00E753AB"/>
    <w:rsid w:val="00EC3A91"/>
    <w:rsid w:val="00FC674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CD4C-AEC7-4453-82AD-AD14EDF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FF352A"/>
    <w:pPr>
      <w:keepNext/>
      <w:widowControl/>
      <w:autoSpaceDE/>
      <w:autoSpaceDN/>
      <w:jc w:val="center"/>
      <w:outlineLvl w:val="1"/>
    </w:pPr>
    <w:rPr>
      <w:b/>
      <w:bCs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FF3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FF35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6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7">
    <w:name w:val="Table Grid"/>
    <w:basedOn w:val="a1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0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character" w:customStyle="1" w:styleId="30">
    <w:name w:val="Заголовок 3 Знак"/>
    <w:basedOn w:val="a0"/>
    <w:link w:val="3"/>
    <w:rsid w:val="00FF35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FF3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rsid w:val="00FF352A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a4">
    <w:name w:val="Основной текст Знак"/>
    <w:link w:val="a3"/>
    <w:rsid w:val="00FF35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FF352A"/>
    <w:rPr>
      <w:b/>
      <w:bCs/>
    </w:rPr>
  </w:style>
  <w:style w:type="paragraph" w:customStyle="1" w:styleId="razdel">
    <w:name w:val="razdel"/>
    <w:basedOn w:val="a"/>
    <w:rsid w:val="00FF35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body">
    <w:name w:val="body"/>
    <w:basedOn w:val="a"/>
    <w:rsid w:val="00FF35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rsid w:val="00FF352A"/>
    <w:rPr>
      <w:b/>
      <w:bCs/>
      <w:color w:val="003333"/>
      <w:sz w:val="18"/>
      <w:szCs w:val="18"/>
      <w:u w:val="single"/>
    </w:rPr>
  </w:style>
  <w:style w:type="paragraph" w:styleId="22">
    <w:name w:val="Body Text 2"/>
    <w:basedOn w:val="a"/>
    <w:link w:val="23"/>
    <w:semiHidden/>
    <w:rsid w:val="00FF352A"/>
    <w:pPr>
      <w:widowControl/>
      <w:autoSpaceDE/>
      <w:autoSpaceDN/>
    </w:pPr>
    <w:rPr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semiHidden/>
    <w:rsid w:val="00FF352A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FF352A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F352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FF352A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352A"/>
    <w:rPr>
      <w:rFonts w:ascii="Calibri" w:eastAsia="Times New Roman" w:hAnsi="Calibri" w:cs="Times New Roman"/>
      <w:lang w:val="ru-RU" w:eastAsia="ru-RU"/>
    </w:rPr>
  </w:style>
  <w:style w:type="paragraph" w:styleId="ae">
    <w:name w:val="Body Text Indent"/>
    <w:basedOn w:val="a"/>
    <w:link w:val="af"/>
    <w:uiPriority w:val="99"/>
    <w:unhideWhenUsed/>
    <w:rsid w:val="00FF352A"/>
    <w:pPr>
      <w:widowControl/>
      <w:autoSpaceDE/>
      <w:autoSpaceDN/>
      <w:spacing w:after="120" w:line="276" w:lineRule="auto"/>
      <w:ind w:left="283"/>
    </w:pPr>
    <w:rPr>
      <w:rFonts w:ascii="Calibri" w:hAnsi="Calibri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F352A"/>
    <w:rPr>
      <w:rFonts w:ascii="Calibri" w:eastAsia="Times New Roman" w:hAnsi="Calibri" w:cs="Times New Roman"/>
      <w:lang w:val="ru-RU" w:eastAsia="ru-RU"/>
    </w:rPr>
  </w:style>
  <w:style w:type="character" w:styleId="af0">
    <w:name w:val="page number"/>
    <w:basedOn w:val="a0"/>
    <w:semiHidden/>
    <w:rsid w:val="00FF352A"/>
  </w:style>
  <w:style w:type="paragraph" w:styleId="af1">
    <w:name w:val="Normal (Web)"/>
    <w:basedOn w:val="a"/>
    <w:rsid w:val="00FF35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Emphasis"/>
    <w:qFormat/>
    <w:rsid w:val="00FF352A"/>
    <w:rPr>
      <w:i/>
      <w:iCs/>
    </w:rPr>
  </w:style>
  <w:style w:type="paragraph" w:customStyle="1" w:styleId="podzag">
    <w:name w:val="podzag"/>
    <w:basedOn w:val="a"/>
    <w:rsid w:val="00FF35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1">
    <w:name w:val="body1"/>
    <w:basedOn w:val="a0"/>
    <w:rsid w:val="00FF352A"/>
  </w:style>
  <w:style w:type="paragraph" w:styleId="af3">
    <w:name w:val="footnote text"/>
    <w:basedOn w:val="a"/>
    <w:link w:val="af4"/>
    <w:semiHidden/>
    <w:rsid w:val="00FF352A"/>
    <w:pPr>
      <w:widowControl/>
    </w:pPr>
    <w:rPr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semiHidden/>
    <w:rsid w:val="00FF35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agistorNew">
    <w:name w:val="Magistor New"/>
    <w:basedOn w:val="a"/>
    <w:rsid w:val="00FF352A"/>
    <w:pPr>
      <w:shd w:val="clear" w:color="auto" w:fill="FFFFFF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  <w:lang w:val="ru-RU" w:eastAsia="ru-RU"/>
    </w:rPr>
  </w:style>
  <w:style w:type="paragraph" w:styleId="31">
    <w:name w:val="Body Text 3"/>
    <w:basedOn w:val="a"/>
    <w:link w:val="32"/>
    <w:rsid w:val="00FF352A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FF352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3">
    <w:name w:val="FR3"/>
    <w:rsid w:val="00FF352A"/>
    <w:pPr>
      <w:adjustRightInd w:val="0"/>
      <w:spacing w:before="242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Юлия Гаврилюк</cp:lastModifiedBy>
  <cp:revision>9</cp:revision>
  <cp:lastPrinted>2019-03-03T13:22:00Z</cp:lastPrinted>
  <dcterms:created xsi:type="dcterms:W3CDTF">2019-01-29T17:14:00Z</dcterms:created>
  <dcterms:modified xsi:type="dcterms:W3CDTF">2019-03-20T07:29:00Z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